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楷体_GB2312" w:eastAsia="楷体_GB2312"/>
          <w:b/>
          <w:sz w:val="32"/>
          <w:szCs w:val="32"/>
        </w:rPr>
      </w:pPr>
      <w:bookmarkStart w:id="0" w:name="_GoBack"/>
      <w:bookmarkEnd w:id="0"/>
      <w:r>
        <w:rPr>
          <w:rFonts w:hint="eastAsia" w:ascii="楷体_GB2312" w:eastAsia="楷体_GB2312"/>
          <w:b/>
          <w:sz w:val="32"/>
          <w:szCs w:val="32"/>
        </w:rPr>
        <w:t>2019年《联盟计划-难题招标专项》项目招标书</w:t>
      </w:r>
    </w:p>
    <w:p>
      <w:pPr>
        <w:spacing w:line="520" w:lineRule="exact"/>
        <w:ind w:firstLine="480" w:firstLineChars="2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编号：                                           2019年  月  日</w:t>
      </w:r>
    </w:p>
    <w:tbl>
      <w:tblPr>
        <w:tblStyle w:val="7"/>
        <w:tblW w:w="93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92"/>
        <w:gridCol w:w="648"/>
        <w:gridCol w:w="876"/>
        <w:gridCol w:w="1496"/>
        <w:gridCol w:w="184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color w:val="FF0000"/>
                <w:sz w:val="18"/>
                <w:szCs w:val="1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项目名称</w:t>
            </w:r>
          </w:p>
        </w:tc>
        <w:tc>
          <w:tcPr>
            <w:tcW w:w="30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80" w:lineRule="exact"/>
              <w:ind w:left="-120" w:leftChars="-57" w:right="-73" w:rightChars="-35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项目类别</w:t>
            </w:r>
          </w:p>
          <w:p>
            <w:pPr>
              <w:adjustRightInd w:val="0"/>
              <w:snapToGrid w:val="0"/>
              <w:spacing w:line="240" w:lineRule="exact"/>
              <w:ind w:left="-120" w:leftChars="-57" w:right="-73" w:rightChars="-35"/>
              <w:jc w:val="center"/>
              <w:rPr>
                <w:rFonts w:ascii="楷体_GB2312" w:eastAsia="楷体_GB2312"/>
                <w:b/>
                <w:color w:val="FF0000"/>
                <w:sz w:val="18"/>
                <w:szCs w:val="18"/>
              </w:rPr>
            </w:pPr>
            <w:r>
              <w:rPr>
                <w:rFonts w:hint="eastAsia" w:ascii="楷体_GB2312" w:eastAsia="楷体_GB2312"/>
                <w:b/>
                <w:color w:val="FF0000"/>
                <w:sz w:val="18"/>
                <w:szCs w:val="18"/>
              </w:rPr>
              <w:t>（按学科领域填写）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Cs/>
                <w:sz w:val="18"/>
                <w:szCs w:val="18"/>
              </w:rPr>
              <w:t>□</w:t>
            </w:r>
            <w:r>
              <w:rPr>
                <w:rFonts w:hint="eastAsia" w:ascii="楷体_GB2312" w:eastAsia="楷体_GB2312"/>
                <w:sz w:val="18"/>
                <w:szCs w:val="18"/>
              </w:rPr>
              <w:t>电子与信息、</w:t>
            </w:r>
            <w:r>
              <w:rPr>
                <w:rFonts w:hint="eastAsia" w:ascii="楷体_GB2312" w:eastAsia="楷体_GB2312"/>
                <w:bCs/>
                <w:sz w:val="18"/>
                <w:szCs w:val="18"/>
              </w:rPr>
              <w:t>□</w:t>
            </w:r>
            <w:r>
              <w:rPr>
                <w:rFonts w:hint="eastAsia" w:ascii="楷体_GB2312" w:eastAsia="楷体_GB2312"/>
                <w:sz w:val="18"/>
                <w:szCs w:val="18"/>
              </w:rPr>
              <w:t xml:space="preserve">先进制造、  </w:t>
            </w:r>
            <w:r>
              <w:rPr>
                <w:rFonts w:hint="eastAsia" w:ascii="楷体_GB2312" w:eastAsia="楷体_GB2312"/>
                <w:bCs/>
                <w:sz w:val="18"/>
                <w:szCs w:val="18"/>
              </w:rPr>
              <w:t>□</w:t>
            </w:r>
            <w:r>
              <w:rPr>
                <w:rFonts w:hint="eastAsia" w:ascii="楷体_GB2312" w:eastAsia="楷体_GB2312"/>
                <w:sz w:val="18"/>
                <w:szCs w:val="18"/>
              </w:rPr>
              <w:t>生物与医药、</w:t>
            </w:r>
            <w:r>
              <w:rPr>
                <w:rFonts w:hint="eastAsia" w:ascii="楷体_GB2312" w:eastAsia="楷体_GB2312"/>
                <w:bCs/>
                <w:sz w:val="18"/>
                <w:szCs w:val="18"/>
              </w:rPr>
              <w:t>□</w:t>
            </w:r>
            <w:r>
              <w:rPr>
                <w:rFonts w:hint="eastAsia" w:ascii="楷体_GB2312" w:eastAsia="楷体_GB2312"/>
                <w:sz w:val="18"/>
                <w:szCs w:val="18"/>
              </w:rPr>
              <w:t>新材料、</w:t>
            </w:r>
            <w:r>
              <w:rPr>
                <w:rFonts w:hint="eastAsia" w:ascii="楷体_GB2312" w:eastAsia="楷体_GB2312"/>
                <w:bCs/>
                <w:sz w:val="18"/>
                <w:szCs w:val="18"/>
              </w:rPr>
              <w:t>□</w:t>
            </w:r>
            <w:r>
              <w:rPr>
                <w:rFonts w:hint="eastAsia" w:ascii="楷体_GB2312" w:eastAsia="楷体_GB2312"/>
                <w:sz w:val="18"/>
                <w:szCs w:val="18"/>
              </w:rPr>
              <w:t>现代农业、</w:t>
            </w:r>
            <w:r>
              <w:rPr>
                <w:rFonts w:hint="eastAsia" w:ascii="楷体_GB2312" w:eastAsia="楷体_GB2312"/>
                <w:bCs/>
                <w:sz w:val="18"/>
                <w:szCs w:val="18"/>
              </w:rPr>
              <w:t>□</w:t>
            </w:r>
            <w:r>
              <w:rPr>
                <w:rFonts w:hint="eastAsia" w:ascii="楷体_GB2312" w:eastAsia="楷体_GB2312"/>
                <w:sz w:val="18"/>
                <w:szCs w:val="18"/>
              </w:rPr>
              <w:t>环境与资源、</w:t>
            </w:r>
            <w:r>
              <w:rPr>
                <w:rFonts w:hint="eastAsia" w:ascii="楷体_GB2312" w:eastAsia="楷体_GB2312"/>
                <w:bCs/>
                <w:sz w:val="18"/>
                <w:szCs w:val="18"/>
              </w:rPr>
              <w:t>□</w:t>
            </w:r>
            <w:r>
              <w:rPr>
                <w:rFonts w:hint="eastAsia" w:ascii="楷体_GB2312" w:eastAsia="楷体_GB2312"/>
                <w:sz w:val="18"/>
                <w:szCs w:val="18"/>
              </w:rPr>
              <w:t>新能源与高效节能、</w:t>
            </w:r>
            <w:r>
              <w:rPr>
                <w:rFonts w:hint="eastAsia" w:ascii="楷体_GB2312" w:eastAsia="楷体_GB2312"/>
                <w:bCs/>
                <w:sz w:val="18"/>
                <w:szCs w:val="18"/>
              </w:rPr>
              <w:t>□</w:t>
            </w:r>
            <w:r>
              <w:rPr>
                <w:rFonts w:hint="eastAsia" w:ascii="楷体_GB2312" w:eastAsia="楷体_GB2312"/>
                <w:sz w:val="18"/>
                <w:szCs w:val="18"/>
              </w:rPr>
              <w:t>现代交通运输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8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sz w:val="28"/>
                <w:szCs w:val="28"/>
              </w:rPr>
              <w:t>单位名称</w:t>
            </w:r>
          </w:p>
          <w:p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color w:val="FF0000"/>
                <w:sz w:val="18"/>
                <w:szCs w:val="18"/>
              </w:rPr>
              <w:t>(盖章)</w:t>
            </w:r>
          </w:p>
        </w:tc>
        <w:tc>
          <w:tcPr>
            <w:tcW w:w="30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税务注册地</w:t>
            </w:r>
            <w:r>
              <w:rPr>
                <w:rFonts w:hint="eastAsia" w:ascii="楷体_GB2312" w:eastAsia="楷体_GB2312"/>
                <w:sz w:val="18"/>
                <w:szCs w:val="18"/>
              </w:rPr>
              <w:t>（所属区）</w:t>
            </w:r>
            <w:r>
              <w:rPr>
                <w:rFonts w:hint="eastAsia" w:ascii="楷体_GB2312" w:eastAsia="楷体_GB2312"/>
                <w:b/>
                <w:sz w:val="24"/>
              </w:rPr>
              <w:t>：</w:t>
            </w:r>
          </w:p>
          <w:p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48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市高新技术企业：</w:t>
            </w:r>
            <w:r>
              <w:rPr>
                <w:rFonts w:hint="eastAsia" w:ascii="楷体_GB2312" w:eastAsia="楷体_GB2312"/>
                <w:bCs/>
                <w:sz w:val="24"/>
              </w:rPr>
              <w:t>是□   否□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高新技术企业证号：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48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市专精特新企业：</w:t>
            </w:r>
            <w:r>
              <w:rPr>
                <w:rFonts w:hint="eastAsia" w:ascii="楷体_GB2312" w:eastAsia="楷体_GB2312"/>
                <w:sz w:val="24"/>
              </w:rPr>
              <w:t>是</w:t>
            </w:r>
            <w:r>
              <w:rPr>
                <w:rFonts w:hint="eastAsia" w:ascii="楷体_GB2312" w:eastAsia="楷体_GB2312"/>
                <w:bCs/>
                <w:sz w:val="24"/>
              </w:rPr>
              <w:t>□   否□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市专精特新企业证号：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市小巨人企业</w:t>
            </w:r>
            <w:r>
              <w:rPr>
                <w:rFonts w:hint="eastAsia" w:ascii="楷体_GB2312" w:eastAsia="楷体_GB2312"/>
                <w:bCs/>
                <w:sz w:val="24"/>
              </w:rPr>
              <w:t xml:space="preserve">□  </w:t>
            </w:r>
            <w:r>
              <w:rPr>
                <w:rFonts w:hint="eastAsia" w:ascii="楷体_GB2312" w:eastAsia="楷体_GB2312"/>
                <w:b/>
                <w:sz w:val="24"/>
              </w:rPr>
              <w:t>市小巨人培育企业</w:t>
            </w:r>
            <w:r>
              <w:rPr>
                <w:rFonts w:hint="eastAsia" w:ascii="楷体_GB2312" w:eastAsia="楷体_GB2312"/>
                <w:bCs/>
                <w:sz w:val="24"/>
              </w:rPr>
              <w:t xml:space="preserve">□  </w:t>
            </w:r>
            <w:r>
              <w:rPr>
                <w:rFonts w:hint="eastAsia" w:ascii="楷体_GB2312" w:eastAsia="楷体_GB2312"/>
                <w:b/>
                <w:sz w:val="24"/>
              </w:rPr>
              <w:t>区县小巨人企业</w:t>
            </w:r>
            <w:r>
              <w:rPr>
                <w:rFonts w:hint="eastAsia" w:ascii="楷体_GB2312" w:eastAsia="楷体_GB2312"/>
                <w:bCs/>
                <w:sz w:val="24"/>
              </w:rPr>
              <w:t xml:space="preserve">□  </w:t>
            </w:r>
            <w:r>
              <w:rPr>
                <w:rFonts w:hint="eastAsia" w:ascii="楷体_GB2312" w:eastAsia="楷体_GB2312"/>
                <w:b/>
                <w:sz w:val="24"/>
              </w:rPr>
              <w:t>区县小巨人培育企业</w:t>
            </w:r>
            <w:r>
              <w:rPr>
                <w:rFonts w:hint="eastAsia" w:ascii="楷体_GB2312" w:eastAsia="楷体_GB2312"/>
                <w:bCs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9" w:hRule="atLeast"/>
        </w:trPr>
        <w:tc>
          <w:tcPr>
            <w:tcW w:w="9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招标单位简介：</w:t>
            </w:r>
            <w:r>
              <w:rPr>
                <w:rFonts w:hint="eastAsia" w:ascii="楷体_GB2312" w:eastAsia="楷体_GB2312"/>
                <w:szCs w:val="21"/>
              </w:rPr>
              <w:t>（</w:t>
            </w:r>
            <w:r>
              <w:rPr>
                <w:rFonts w:hint="eastAsia" w:ascii="楷体_GB2312" w:eastAsia="楷体_GB2312"/>
                <w:sz w:val="18"/>
                <w:szCs w:val="18"/>
              </w:rPr>
              <w:t>必须填写企业的官方网站，企业性质、职工人数、科技人员占职工总数的百分比、产值、利润，是否获得国家、上海市区级的资金资助或奖项等。）</w:t>
            </w:r>
          </w:p>
          <w:p>
            <w:pPr>
              <w:spacing w:line="400" w:lineRule="exact"/>
              <w:rPr>
                <w:rFonts w:ascii="楷体_GB2312" w:eastAsia="楷体_GB2312"/>
                <w:b/>
                <w:bCs/>
                <w:sz w:val="24"/>
              </w:rPr>
            </w:pPr>
          </w:p>
          <w:p>
            <w:pPr>
              <w:spacing w:line="400" w:lineRule="exact"/>
              <w:rPr>
                <w:rFonts w:ascii="楷体_GB2312" w:eastAsia="楷体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9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b/>
                <w:sz w:val="18"/>
                <w:szCs w:val="18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难题概述：</w:t>
            </w:r>
            <w:r>
              <w:rPr>
                <w:rFonts w:hint="eastAsia" w:ascii="楷体_GB2312" w:eastAsia="楷体_GB2312"/>
                <w:sz w:val="18"/>
                <w:szCs w:val="18"/>
              </w:rPr>
              <w:t>(必需较详细地叙述招标难题的性质，不得少于1000字。)</w:t>
            </w:r>
          </w:p>
          <w:p>
            <w:pPr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7" w:hRule="atLeast"/>
        </w:trPr>
        <w:tc>
          <w:tcPr>
            <w:tcW w:w="9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招标内容及需要解决难题所达到的主要技术指标</w:t>
            </w:r>
            <w:r>
              <w:rPr>
                <w:rFonts w:hint="eastAsia" w:ascii="楷体_GB2312" w:eastAsia="楷体_GB2312"/>
                <w:sz w:val="18"/>
                <w:szCs w:val="18"/>
              </w:rPr>
              <w:t>（必须说明招标内容及需要解决难题所达到的主要技术指标，且技术指标应尽可能明确、详细)</w:t>
            </w:r>
          </w:p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  <w:p>
            <w:pPr>
              <w:spacing w:line="400" w:lineRule="exact"/>
              <w:rPr>
                <w:rFonts w:ascii="楷体_GB2312" w:eastAsia="楷体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1" w:hRule="atLeast"/>
        </w:trPr>
        <w:tc>
          <w:tcPr>
            <w:tcW w:w="9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color w:val="000000"/>
                <w:sz w:val="18"/>
                <w:szCs w:val="18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预计难题解决后三年内，</w:t>
            </w:r>
            <w:r>
              <w:rPr>
                <w:rFonts w:hint="eastAsia" w:ascii="楷体_GB2312" w:eastAsia="楷体_GB2312"/>
                <w:b/>
                <w:color w:val="FF0000"/>
                <w:sz w:val="24"/>
              </w:rPr>
              <w:t>因该项目可实现的经济数据</w:t>
            </w: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（不得填写企业全部产品的数据）：</w:t>
            </w:r>
          </w:p>
          <w:tbl>
            <w:tblPr>
              <w:tblStyle w:val="7"/>
              <w:tblW w:w="8894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99"/>
              <w:gridCol w:w="1725"/>
              <w:gridCol w:w="1985"/>
              <w:gridCol w:w="1842"/>
              <w:gridCol w:w="1843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9" w:type="dxa"/>
                  <w:tcBorders>
                    <w:tl2br w:val="single" w:color="auto" w:sz="4" w:space="0"/>
                  </w:tcBorders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  <w:r>
                    <w:rPr>
                      <w:rFonts w:hint="eastAsia" w:ascii="楷体_GB2312" w:eastAsia="楷体_GB2312"/>
                      <w:color w:val="000000"/>
                      <w:sz w:val="24"/>
                    </w:rPr>
                    <w:t xml:space="preserve">      名称</w:t>
                  </w:r>
                </w:p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  <w:r>
                    <w:rPr>
                      <w:rFonts w:hint="eastAsia" w:ascii="楷体_GB2312" w:eastAsia="楷体_GB2312"/>
                      <w:color w:val="000000"/>
                      <w:sz w:val="24"/>
                    </w:rPr>
                    <w:t>年份</w:t>
                  </w:r>
                </w:p>
              </w:tc>
              <w:tc>
                <w:tcPr>
                  <w:tcW w:w="1725" w:type="dxa"/>
                </w:tcPr>
                <w:p>
                  <w:pPr>
                    <w:jc w:val="center"/>
                    <w:rPr>
                      <w:rFonts w:ascii="楷体_GB2312" w:eastAsia="楷体_GB2312"/>
                      <w:color w:val="000000"/>
                      <w:sz w:val="24"/>
                    </w:rPr>
                  </w:pPr>
                  <w:r>
                    <w:rPr>
                      <w:rFonts w:hint="eastAsia" w:ascii="楷体_GB2312" w:eastAsia="楷体_GB2312"/>
                      <w:color w:val="000000"/>
                      <w:sz w:val="24"/>
                    </w:rPr>
                    <w:t>预计增加产值</w:t>
                  </w:r>
                  <w:r>
                    <w:rPr>
                      <w:rFonts w:hint="eastAsia" w:ascii="楷体_GB2312" w:eastAsia="楷体_GB2312"/>
                      <w:color w:val="000000"/>
                      <w:sz w:val="18"/>
                      <w:szCs w:val="18"/>
                    </w:rPr>
                    <w:t>（元，必填）</w:t>
                  </w:r>
                </w:p>
              </w:tc>
              <w:tc>
                <w:tcPr>
                  <w:tcW w:w="1985" w:type="dxa"/>
                </w:tcPr>
                <w:p>
                  <w:pPr>
                    <w:jc w:val="center"/>
                    <w:rPr>
                      <w:rFonts w:ascii="楷体_GB2312" w:eastAsia="楷体_GB2312"/>
                      <w:color w:val="000000"/>
                      <w:sz w:val="24"/>
                    </w:rPr>
                  </w:pPr>
                  <w:r>
                    <w:rPr>
                      <w:rFonts w:hint="eastAsia" w:ascii="楷体_GB2312" w:eastAsia="楷体_GB2312"/>
                      <w:color w:val="000000"/>
                      <w:sz w:val="24"/>
                    </w:rPr>
                    <w:t>预计增加销售额</w:t>
                  </w:r>
                  <w:r>
                    <w:rPr>
                      <w:rFonts w:hint="eastAsia" w:ascii="楷体_GB2312" w:eastAsia="楷体_GB2312"/>
                      <w:color w:val="000000"/>
                      <w:sz w:val="18"/>
                      <w:szCs w:val="18"/>
                    </w:rPr>
                    <w:t>（元，必填）</w:t>
                  </w:r>
                </w:p>
              </w:tc>
              <w:tc>
                <w:tcPr>
                  <w:tcW w:w="1842" w:type="dxa"/>
                </w:tcPr>
                <w:p>
                  <w:pPr>
                    <w:jc w:val="center"/>
                    <w:rPr>
                      <w:rFonts w:ascii="楷体_GB2312" w:eastAsia="楷体_GB2312"/>
                      <w:color w:val="000000"/>
                      <w:sz w:val="24"/>
                    </w:rPr>
                  </w:pPr>
                  <w:r>
                    <w:rPr>
                      <w:rFonts w:hint="eastAsia" w:ascii="楷体_GB2312" w:eastAsia="楷体_GB2312"/>
                      <w:color w:val="000000"/>
                      <w:sz w:val="24"/>
                    </w:rPr>
                    <w:t>预计增加利润</w:t>
                  </w:r>
                  <w:r>
                    <w:rPr>
                      <w:rFonts w:hint="eastAsia" w:ascii="楷体_GB2312" w:eastAsia="楷体_GB2312"/>
                      <w:color w:val="000000"/>
                      <w:sz w:val="18"/>
                      <w:szCs w:val="18"/>
                    </w:rPr>
                    <w:t>（元，必填）</w:t>
                  </w:r>
                </w:p>
              </w:tc>
              <w:tc>
                <w:tcPr>
                  <w:tcW w:w="1843" w:type="dxa"/>
                </w:tcPr>
                <w:p>
                  <w:pPr>
                    <w:jc w:val="center"/>
                    <w:rPr>
                      <w:rFonts w:ascii="楷体_GB2312" w:eastAsia="楷体_GB2312"/>
                      <w:color w:val="000000"/>
                      <w:sz w:val="24"/>
                    </w:rPr>
                  </w:pPr>
                  <w:r>
                    <w:rPr>
                      <w:rFonts w:hint="eastAsia" w:ascii="楷体_GB2312" w:eastAsia="楷体_GB2312"/>
                      <w:color w:val="000000"/>
                      <w:sz w:val="24"/>
                    </w:rPr>
                    <w:t>预计增加税收</w:t>
                  </w:r>
                  <w:r>
                    <w:rPr>
                      <w:rFonts w:hint="eastAsia" w:ascii="楷体_GB2312" w:eastAsia="楷体_GB2312"/>
                      <w:color w:val="000000"/>
                      <w:sz w:val="18"/>
                      <w:szCs w:val="18"/>
                    </w:rPr>
                    <w:t>（元）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9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  <w:r>
                    <w:rPr>
                      <w:rFonts w:hint="eastAsia" w:ascii="楷体_GB2312" w:eastAsia="楷体_GB2312"/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1725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  <w:tc>
                <w:tcPr>
                  <w:tcW w:w="1842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9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  <w:r>
                    <w:rPr>
                      <w:rFonts w:hint="eastAsia" w:ascii="楷体_GB2312" w:eastAsia="楷体_GB2312"/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1725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  <w:tc>
                <w:tcPr>
                  <w:tcW w:w="1842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99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  <w:r>
                    <w:rPr>
                      <w:rFonts w:hint="eastAsia" w:ascii="楷体_GB2312" w:eastAsia="楷体_GB2312"/>
                      <w:color w:val="000000"/>
                      <w:sz w:val="24"/>
                    </w:rPr>
                    <w:t>20</w:t>
                  </w:r>
                </w:p>
              </w:tc>
              <w:tc>
                <w:tcPr>
                  <w:tcW w:w="1725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  <w:tc>
                <w:tcPr>
                  <w:tcW w:w="1842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rPr>
                      <w:rFonts w:ascii="楷体_GB2312" w:eastAsia="楷体_GB2312"/>
                      <w:color w:val="000000"/>
                      <w:sz w:val="24"/>
                    </w:rPr>
                  </w:pPr>
                </w:p>
              </w:tc>
            </w:tr>
          </w:tbl>
          <w:p>
            <w:pPr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</w:trPr>
        <w:tc>
          <w:tcPr>
            <w:tcW w:w="9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color w:val="000000"/>
                <w:sz w:val="18"/>
                <w:szCs w:val="18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预计难题解决后三年内实现的社会效益</w:t>
            </w:r>
            <w:r>
              <w:rPr>
                <w:rFonts w:hint="eastAsia" w:ascii="楷体_GB2312" w:eastAsia="楷体_GB2312"/>
                <w:color w:val="000000"/>
                <w:sz w:val="18"/>
                <w:szCs w:val="18"/>
              </w:rPr>
              <w:t>（用文字叙述）</w:t>
            </w:r>
          </w:p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9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color w:val="000000"/>
                <w:sz w:val="18"/>
                <w:szCs w:val="18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企业可提供给投标单位的科研经费：</w:t>
            </w:r>
            <w:r>
              <w:rPr>
                <w:rFonts w:hint="eastAsia" w:ascii="楷体_GB2312" w:eastAsia="楷体_GB2312"/>
                <w:color w:val="000000"/>
                <w:sz w:val="18"/>
                <w:szCs w:val="18"/>
              </w:rPr>
              <w:t>（此为主办方不资助情况下，企业提供的经费，不包括专项设备购置经费。）</w:t>
            </w:r>
          </w:p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9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color w:val="000000"/>
                <w:sz w:val="18"/>
                <w:szCs w:val="18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要求解决难题的时间：</w:t>
            </w:r>
            <w:r>
              <w:rPr>
                <w:rFonts w:hint="eastAsia" w:ascii="楷体_GB2312" w:eastAsia="楷体_GB2312"/>
                <w:color w:val="000000"/>
                <w:sz w:val="18"/>
                <w:szCs w:val="18"/>
              </w:rPr>
              <w:t>（一般年限为1年至1年半，由企业自行选择年限）</w:t>
            </w:r>
          </w:p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9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color w:val="000000"/>
                <w:sz w:val="18"/>
                <w:szCs w:val="18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企业是否愿意在解决难题后自愿捐助主办方：</w:t>
            </w:r>
            <w:r>
              <w:rPr>
                <w:rFonts w:hint="eastAsia" w:ascii="楷体_GB2312" w:eastAsia="楷体_GB2312"/>
                <w:color w:val="000000"/>
                <w:sz w:val="18"/>
                <w:szCs w:val="18"/>
              </w:rPr>
              <w:t>（捐助金额不限；捐助资金全部用于资助后来的难题招标单位，共促难题招标活动持续开展）</w:t>
            </w:r>
          </w:p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合作方式：</w:t>
            </w:r>
            <w:r>
              <w:rPr>
                <w:rFonts w:hint="eastAsia" w:ascii="楷体_GB2312" w:eastAsia="楷体_GB2312"/>
                <w:sz w:val="18"/>
                <w:szCs w:val="18"/>
              </w:rPr>
              <w:t>（必须选项明确填写：委托研发，委托人拥有自主知识产权或被委托人拥有自主知识产权；共同研发，双方共同拥有知识产权；接受技术转让等）</w:t>
            </w:r>
          </w:p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  <w:p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3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区科委的推荐意见及盖章：</w:t>
            </w:r>
            <w:r>
              <w:rPr>
                <w:rFonts w:hint="eastAsia" w:ascii="楷体_GB2312" w:eastAsia="楷体_GB2312"/>
                <w:sz w:val="18"/>
                <w:szCs w:val="18"/>
              </w:rPr>
              <w:t>（申报企业不填写此栏目）</w:t>
            </w:r>
          </w:p>
          <w:p>
            <w:pPr>
              <w:spacing w:line="400" w:lineRule="exact"/>
              <w:ind w:firstLine="470"/>
              <w:rPr>
                <w:rFonts w:ascii="楷体_GB2312" w:eastAsia="楷体_GB2312"/>
                <w:sz w:val="24"/>
              </w:rPr>
            </w:pPr>
          </w:p>
          <w:p>
            <w:pPr>
              <w:spacing w:line="400" w:lineRule="exact"/>
              <w:ind w:firstLine="470"/>
              <w:rPr>
                <w:rFonts w:ascii="楷体_GB2312" w:eastAsia="楷体_GB2312"/>
                <w:sz w:val="24"/>
              </w:rPr>
            </w:pPr>
          </w:p>
          <w:p>
            <w:pPr>
              <w:ind w:firstLine="472" w:firstLineChars="196"/>
              <w:rPr>
                <w:rFonts w:ascii="楷体_GB2312" w:eastAsia="楷体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联系人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napToGrid w:val="0"/>
                <w:kern w:val="24"/>
                <w:sz w:val="24"/>
              </w:rPr>
              <w:t>通讯</w:t>
            </w:r>
          </w:p>
          <w:p>
            <w:pPr>
              <w:widowControl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方式</w:t>
            </w:r>
          </w:p>
        </w:tc>
        <w:tc>
          <w:tcPr>
            <w:tcW w:w="60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电话：       传真：       手机：</w:t>
            </w:r>
          </w:p>
          <w:p>
            <w:pPr>
              <w:widowControl/>
              <w:jc w:val="lef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地址：                        邮编：</w:t>
            </w:r>
          </w:p>
          <w:p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电子信箱：</w:t>
            </w:r>
          </w:p>
        </w:tc>
      </w:tr>
    </w:tbl>
    <w:p>
      <w:pPr>
        <w:rPr>
          <w:rFonts w:ascii="楷体_GB2312" w:eastAsia="楷体_GB2312"/>
          <w:b/>
          <w:bCs/>
          <w:szCs w:val="21"/>
        </w:rPr>
      </w:pPr>
      <w:r>
        <w:rPr>
          <w:rFonts w:hint="eastAsia" w:ascii="楷体_GB2312" w:eastAsia="楷体_GB2312"/>
          <w:b/>
          <w:szCs w:val="21"/>
        </w:rPr>
        <w:t>备注：</w:t>
      </w:r>
      <w:r>
        <w:rPr>
          <w:rFonts w:hint="eastAsia" w:ascii="楷体_GB2312" w:eastAsia="楷体_GB2312"/>
          <w:szCs w:val="21"/>
        </w:rPr>
        <w:t>1、本电子文档表的页面可以任意拉长，填写内容应尽可能的详实；</w:t>
      </w:r>
      <w:r>
        <w:rPr>
          <w:rFonts w:hint="eastAsia" w:ascii="楷体_GB2312" w:eastAsia="楷体_GB2312"/>
          <w:b/>
          <w:bCs/>
          <w:color w:val="FF0000"/>
          <w:szCs w:val="21"/>
        </w:rPr>
        <w:t>填表文字不得</w:t>
      </w:r>
      <w:r>
        <w:rPr>
          <w:rFonts w:hint="eastAsia" w:ascii="楷体_GB2312" w:eastAsia="楷体_GB2312"/>
          <w:b/>
          <w:bCs/>
          <w:color w:val="FF0000"/>
          <w:szCs w:val="21"/>
        </w:rPr>
        <w:t>小于“小四号”字，行距</w:t>
      </w:r>
      <w:r>
        <w:rPr>
          <w:rFonts w:hint="eastAsia" w:ascii="楷体_GB2312" w:eastAsia="楷体_GB2312"/>
          <w:b/>
          <w:bCs/>
          <w:color w:val="FF0000"/>
          <w:szCs w:val="21"/>
        </w:rPr>
        <w:t>不得</w:t>
      </w:r>
      <w:r>
        <w:rPr>
          <w:rFonts w:hint="eastAsia" w:ascii="楷体_GB2312" w:eastAsia="楷体_GB2312"/>
          <w:b/>
          <w:bCs/>
          <w:color w:val="FF0000"/>
          <w:szCs w:val="21"/>
        </w:rPr>
        <w:t>小于20榜</w:t>
      </w:r>
      <w:r>
        <w:rPr>
          <w:rFonts w:hint="eastAsia" w:ascii="楷体_GB2312" w:eastAsia="楷体_GB2312"/>
          <w:b/>
          <w:bCs/>
          <w:szCs w:val="21"/>
        </w:rPr>
        <w:t>；</w:t>
      </w:r>
    </w:p>
    <w:p>
      <w:pPr>
        <w:ind w:firstLine="630" w:firstLineChars="30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2、《联盟计划－难题招标专项》实施年限为1年至1年半，由企业选定；</w:t>
      </w:r>
    </w:p>
    <w:p>
      <w:pPr>
        <w:ind w:firstLine="630" w:firstLineChars="300"/>
        <w:rPr>
          <w:rFonts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t>3、企业须向科促会提交加盖企业公章的招标书一式三份，同时提供营业执照（正本或副本）的复印件一份。</w:t>
      </w:r>
    </w:p>
    <w:p>
      <w:pPr>
        <w:spacing w:line="360" w:lineRule="exact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“科促会”联系方式：</w:t>
      </w:r>
    </w:p>
    <w:p>
      <w:pPr>
        <w:spacing w:line="360" w:lineRule="exact"/>
        <w:ind w:firstLine="422" w:firstLineChars="20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b/>
          <w:szCs w:val="21"/>
        </w:rPr>
        <w:t>地  址：</w:t>
      </w:r>
      <w:r>
        <w:rPr>
          <w:rFonts w:hint="eastAsia" w:ascii="楷体_GB2312" w:eastAsia="楷体_GB2312"/>
          <w:szCs w:val="21"/>
        </w:rPr>
        <w:t>上海市北京西路860号市政协综合楼603室    邮编：200041</w:t>
      </w:r>
    </w:p>
    <w:p>
      <w:pPr>
        <w:spacing w:line="360" w:lineRule="exact"/>
        <w:ind w:firstLine="422" w:firstLineChars="20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b/>
          <w:szCs w:val="21"/>
        </w:rPr>
        <w:t>联系人：</w:t>
      </w:r>
      <w:r>
        <w:rPr>
          <w:rFonts w:hint="eastAsia" w:ascii="楷体_GB2312" w:eastAsia="楷体_GB2312"/>
          <w:szCs w:val="21"/>
        </w:rPr>
        <w:t xml:space="preserve">李 里 </w:t>
      </w:r>
    </w:p>
    <w:p>
      <w:pPr>
        <w:spacing w:line="360" w:lineRule="exact"/>
        <w:ind w:firstLine="422" w:firstLineChars="200"/>
      </w:pPr>
      <w:r>
        <w:rPr>
          <w:rFonts w:hint="eastAsia" w:ascii="楷体_GB2312" w:eastAsia="楷体_GB2312"/>
          <w:b/>
          <w:szCs w:val="21"/>
        </w:rPr>
        <w:t>电  话：</w:t>
      </w:r>
      <w:r>
        <w:rPr>
          <w:rFonts w:hint="eastAsia" w:ascii="楷体_GB2312" w:eastAsia="楷体_GB2312"/>
          <w:szCs w:val="21"/>
        </w:rPr>
        <w:t>23188493   传真：62581611   电子信箱：</w:t>
      </w:r>
      <w:r>
        <w:fldChar w:fldCharType="begin"/>
      </w:r>
      <w:r>
        <w:instrText xml:space="preserve"> HYPERLINK "mailto:sanda0320@126.com" </w:instrText>
      </w:r>
      <w:r>
        <w:fldChar w:fldCharType="separate"/>
      </w:r>
      <w:r>
        <w:rPr>
          <w:rStyle w:val="6"/>
          <w:rFonts w:hint="eastAsia" w:ascii="楷体_GB2312" w:eastAsia="楷体_GB2312"/>
          <w:szCs w:val="21"/>
        </w:rPr>
        <w:t>sanda0320@126.com</w:t>
      </w:r>
      <w:r>
        <w:rPr>
          <w:rStyle w:val="6"/>
          <w:rFonts w:hint="eastAsia" w:ascii="楷体_GB2312" w:eastAsia="楷体_GB2312"/>
          <w:szCs w:val="21"/>
        </w:rPr>
        <w:fldChar w:fldCharType="end"/>
      </w:r>
    </w:p>
    <w:p>
      <w:pPr>
        <w:widowControl/>
        <w:spacing w:line="360" w:lineRule="exact"/>
        <w:ind w:firstLine="420" w:firstLineChars="20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咨询时间：周一到周五  上午9:00-11:30  下午2:00-4:30</w:t>
      </w:r>
    </w:p>
    <w:p>
      <w:pPr>
        <w:spacing w:line="360" w:lineRule="exact"/>
        <w:ind w:firstLine="422" w:firstLineChars="200"/>
        <w:rPr>
          <w:szCs w:val="21"/>
        </w:rPr>
      </w:pPr>
      <w:r>
        <w:rPr>
          <w:rFonts w:hint="eastAsia" w:ascii="楷体_GB2312" w:eastAsia="楷体_GB2312"/>
          <w:b/>
          <w:szCs w:val="21"/>
        </w:rPr>
        <w:t>交  通：</w:t>
      </w:r>
      <w:r>
        <w:rPr>
          <w:rFonts w:hint="eastAsia" w:ascii="楷体_GB2312" w:eastAsia="楷体_GB2312"/>
          <w:szCs w:val="21"/>
        </w:rPr>
        <w:t>15、21路公交电车；41、112、128、927、939、955路公交汽车及地铁2、12、13号线均可到达</w:t>
      </w:r>
    </w:p>
    <w:sectPr>
      <w:pgSz w:w="11906" w:h="16838"/>
      <w:pgMar w:top="1361" w:right="1191" w:bottom="1134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74F"/>
    <w:rsid w:val="00047722"/>
    <w:rsid w:val="00050D2E"/>
    <w:rsid w:val="000A7F65"/>
    <w:rsid w:val="000B5367"/>
    <w:rsid w:val="000D1280"/>
    <w:rsid w:val="000E08B1"/>
    <w:rsid w:val="000E5A09"/>
    <w:rsid w:val="000F240F"/>
    <w:rsid w:val="0010295F"/>
    <w:rsid w:val="00162388"/>
    <w:rsid w:val="00215A52"/>
    <w:rsid w:val="002575D5"/>
    <w:rsid w:val="0027633B"/>
    <w:rsid w:val="00284938"/>
    <w:rsid w:val="002B20AF"/>
    <w:rsid w:val="002C214A"/>
    <w:rsid w:val="002C48C4"/>
    <w:rsid w:val="00314A98"/>
    <w:rsid w:val="00332858"/>
    <w:rsid w:val="00342C72"/>
    <w:rsid w:val="0036024C"/>
    <w:rsid w:val="00363475"/>
    <w:rsid w:val="003747B9"/>
    <w:rsid w:val="00393C53"/>
    <w:rsid w:val="003F260D"/>
    <w:rsid w:val="003F4451"/>
    <w:rsid w:val="003F556D"/>
    <w:rsid w:val="0043308C"/>
    <w:rsid w:val="004375EF"/>
    <w:rsid w:val="00441722"/>
    <w:rsid w:val="00462DF6"/>
    <w:rsid w:val="00474498"/>
    <w:rsid w:val="00474EEF"/>
    <w:rsid w:val="0048105D"/>
    <w:rsid w:val="00495804"/>
    <w:rsid w:val="004D56C6"/>
    <w:rsid w:val="00582BEF"/>
    <w:rsid w:val="0059054D"/>
    <w:rsid w:val="005B7690"/>
    <w:rsid w:val="005C10F3"/>
    <w:rsid w:val="005C474F"/>
    <w:rsid w:val="005C4E50"/>
    <w:rsid w:val="005E2913"/>
    <w:rsid w:val="005F1AF1"/>
    <w:rsid w:val="005F1E37"/>
    <w:rsid w:val="006413FB"/>
    <w:rsid w:val="00643311"/>
    <w:rsid w:val="00650F84"/>
    <w:rsid w:val="00652FE0"/>
    <w:rsid w:val="006A1939"/>
    <w:rsid w:val="00710084"/>
    <w:rsid w:val="00711849"/>
    <w:rsid w:val="00724D2C"/>
    <w:rsid w:val="007766E9"/>
    <w:rsid w:val="007C54AD"/>
    <w:rsid w:val="007D7B5E"/>
    <w:rsid w:val="007F7CE7"/>
    <w:rsid w:val="0084738D"/>
    <w:rsid w:val="008A1C90"/>
    <w:rsid w:val="008B1243"/>
    <w:rsid w:val="008D4D30"/>
    <w:rsid w:val="00924AEC"/>
    <w:rsid w:val="0093231B"/>
    <w:rsid w:val="009D04C1"/>
    <w:rsid w:val="009F7224"/>
    <w:rsid w:val="00A15185"/>
    <w:rsid w:val="00A8767C"/>
    <w:rsid w:val="00AA3CDC"/>
    <w:rsid w:val="00AF1957"/>
    <w:rsid w:val="00AF519E"/>
    <w:rsid w:val="00B670C3"/>
    <w:rsid w:val="00B7734A"/>
    <w:rsid w:val="00B97A32"/>
    <w:rsid w:val="00BA634B"/>
    <w:rsid w:val="00BD226E"/>
    <w:rsid w:val="00C07EBC"/>
    <w:rsid w:val="00C22BA8"/>
    <w:rsid w:val="00C328BF"/>
    <w:rsid w:val="00C512DA"/>
    <w:rsid w:val="00C94855"/>
    <w:rsid w:val="00CB4D55"/>
    <w:rsid w:val="00CE2BEF"/>
    <w:rsid w:val="00D114DB"/>
    <w:rsid w:val="00D142ED"/>
    <w:rsid w:val="00D4700B"/>
    <w:rsid w:val="00D5743A"/>
    <w:rsid w:val="00DC0116"/>
    <w:rsid w:val="00DC1CF9"/>
    <w:rsid w:val="00DC7BE2"/>
    <w:rsid w:val="00DD148E"/>
    <w:rsid w:val="00DD3224"/>
    <w:rsid w:val="00DD552A"/>
    <w:rsid w:val="00DF6505"/>
    <w:rsid w:val="00E42988"/>
    <w:rsid w:val="00E446C1"/>
    <w:rsid w:val="00E73BB1"/>
    <w:rsid w:val="00E763B6"/>
    <w:rsid w:val="00EB13CA"/>
    <w:rsid w:val="00EB6B2E"/>
    <w:rsid w:val="00EC4714"/>
    <w:rsid w:val="00ED3BCA"/>
    <w:rsid w:val="00ED43FB"/>
    <w:rsid w:val="00F337E6"/>
    <w:rsid w:val="00F6628B"/>
    <w:rsid w:val="00F87926"/>
    <w:rsid w:val="00F92153"/>
    <w:rsid w:val="00FA7B5B"/>
    <w:rsid w:val="00FB7B39"/>
    <w:rsid w:val="00FC0B07"/>
    <w:rsid w:val="00FC793F"/>
    <w:rsid w:val="00FD0047"/>
    <w:rsid w:val="2D9E1C40"/>
    <w:rsid w:val="76FF723D"/>
    <w:rsid w:val="7AB727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07A6EB-3AFA-4DF2-BE62-1D1F0FA62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204</Words>
  <Characters>1165</Characters>
  <Lines>9</Lines>
  <Paragraphs>2</Paragraphs>
  <TotalTime>55</TotalTime>
  <ScaleCrop>false</ScaleCrop>
  <LinksUpToDate>false</LinksUpToDate>
  <CharactersWithSpaces>1367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2016-12-27T01:09:00Z</dcterms:created>
  <dc:creator>kane</dc:creator>
  <cp:lastModifiedBy>kch</cp:lastModifiedBy>
  <dcterms:modified xsi:type="dcterms:W3CDTF">2018-12-19T01:24:45Z</dcterms:modified>
  <dc:title>2014年度《联盟计划-难题招标专项》项目招标书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