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line="400" w:lineRule="exact"/>
        <w:jc w:val="center"/>
        <w:rPr>
          <w:rFonts w:hint="eastAsia" w:ascii="黑体" w:hAnsi="黑体" w:eastAsia="黑体"/>
          <w:b/>
          <w:sz w:val="30"/>
          <w:szCs w:val="30"/>
        </w:rPr>
      </w:pPr>
      <w:r>
        <w:rPr>
          <w:rFonts w:hint="eastAsia" w:ascii="黑体" w:hAnsi="黑体" w:eastAsia="黑体"/>
          <w:b/>
          <w:sz w:val="30"/>
          <w:szCs w:val="30"/>
        </w:rPr>
        <w:t>202</w:t>
      </w:r>
      <w:r>
        <w:rPr>
          <w:rFonts w:hint="eastAsia" w:ascii="黑体" w:hAnsi="黑体" w:eastAsia="黑体"/>
          <w:b/>
          <w:sz w:val="30"/>
          <w:szCs w:val="30"/>
          <w:lang w:val="en-US" w:eastAsia="zh-CN"/>
        </w:rPr>
        <w:t>3</w:t>
      </w:r>
      <w:r>
        <w:rPr>
          <w:rFonts w:hint="eastAsia" w:ascii="黑体" w:hAnsi="黑体" w:eastAsia="黑体"/>
          <w:b/>
          <w:sz w:val="30"/>
          <w:szCs w:val="30"/>
        </w:rPr>
        <w:t>年度上海市人民政府决策咨询研究基地（重点培育）</w:t>
      </w:r>
    </w:p>
    <w:p>
      <w:pPr>
        <w:pStyle w:val="3"/>
        <w:shd w:val="clear" w:color="auto" w:fill="FFFFFF"/>
        <w:spacing w:line="400" w:lineRule="exact"/>
        <w:jc w:val="center"/>
        <w:rPr>
          <w:rFonts w:hint="eastAsia" w:ascii="黑体" w:hAnsi="黑体" w:eastAsia="黑体"/>
          <w:b/>
          <w:sz w:val="30"/>
          <w:szCs w:val="30"/>
          <w:lang w:eastAsia="zh-CN"/>
        </w:rPr>
      </w:pPr>
      <w:r>
        <w:rPr>
          <w:rFonts w:hint="eastAsia" w:ascii="黑体" w:hAnsi="黑体" w:eastAsia="黑体"/>
          <w:b/>
          <w:sz w:val="30"/>
          <w:szCs w:val="30"/>
          <w:lang w:eastAsia="zh-CN"/>
        </w:rPr>
        <w:t>（</w:t>
      </w:r>
      <w:r>
        <w:rPr>
          <w:rFonts w:hint="eastAsia" w:ascii="黑体" w:hAnsi="黑体" w:eastAsia="黑体"/>
          <w:b/>
          <w:sz w:val="30"/>
          <w:szCs w:val="30"/>
        </w:rPr>
        <w:t>公开招标</w:t>
      </w:r>
      <w:r>
        <w:rPr>
          <w:rFonts w:hint="eastAsia" w:ascii="黑体" w:hAnsi="黑体" w:eastAsia="黑体"/>
          <w:b/>
          <w:sz w:val="30"/>
          <w:szCs w:val="30"/>
          <w:lang w:eastAsia="zh-CN"/>
        </w:rPr>
        <w:t>）</w:t>
      </w:r>
      <w:bookmarkStart w:id="0" w:name="_GoBack"/>
      <w:bookmarkEnd w:id="0"/>
    </w:p>
    <w:p>
      <w:pPr>
        <w:pStyle w:val="3"/>
        <w:shd w:val="clear" w:color="auto" w:fill="FFFFFF"/>
        <w:spacing w:before="0" w:beforeAutospacing="0" w:after="0" w:afterAutospacing="0" w:line="400" w:lineRule="exact"/>
        <w:jc w:val="center"/>
        <w:rPr>
          <w:rFonts w:ascii="黑体" w:hAnsi="黑体" w:eastAsia="黑体"/>
          <w:b/>
          <w:sz w:val="28"/>
          <w:szCs w:val="28"/>
        </w:rPr>
      </w:pPr>
      <w:r>
        <w:rPr>
          <w:rFonts w:hint="eastAsia" w:ascii="黑体" w:hAnsi="黑体" w:eastAsia="黑体"/>
          <w:b/>
          <w:sz w:val="28"/>
          <w:szCs w:val="28"/>
        </w:rPr>
        <w:t>课 题 指 南</w:t>
      </w:r>
    </w:p>
    <w:p>
      <w:pPr>
        <w:pStyle w:val="3"/>
        <w:shd w:val="clear" w:color="auto" w:fill="FFFFFF"/>
        <w:spacing w:before="0" w:beforeAutospacing="0" w:after="0" w:afterAutospacing="0" w:line="400" w:lineRule="exact"/>
        <w:rPr>
          <w:rFonts w:ascii="仿宋" w:hAnsi="仿宋" w:eastAsia="仿宋"/>
          <w:b/>
          <w:sz w:val="28"/>
          <w:szCs w:val="28"/>
        </w:rPr>
      </w:pPr>
    </w:p>
    <w:p>
      <w:pPr>
        <w:pStyle w:val="3"/>
        <w:shd w:val="clear" w:color="auto" w:fill="FFFFFF"/>
        <w:spacing w:before="0" w:beforeAutospacing="0" w:after="0" w:afterAutospacing="0" w:line="480" w:lineRule="auto"/>
        <w:ind w:right="-420" w:rightChars="-200"/>
        <w:jc w:val="both"/>
        <w:rPr>
          <w:rFonts w:hint="eastAsia" w:eastAsia="仿宋_GB2312"/>
          <w:b/>
          <w:bCs w:val="0"/>
          <w:color w:val="000000"/>
          <w:sz w:val="30"/>
          <w:szCs w:val="30"/>
        </w:rPr>
      </w:pPr>
      <w:r>
        <w:rPr>
          <w:rFonts w:hint="eastAsia" w:ascii="仿宋" w:hAnsi="仿宋" w:eastAsia="仿宋"/>
          <w:b/>
          <w:bCs w:val="0"/>
          <w:sz w:val="28"/>
          <w:szCs w:val="28"/>
        </w:rPr>
        <w:t>一、</w:t>
      </w:r>
      <w:r>
        <w:rPr>
          <w:rFonts w:hint="eastAsia" w:eastAsia="仿宋_GB2312"/>
          <w:b/>
          <w:bCs w:val="0"/>
          <w:color w:val="000000"/>
          <w:sz w:val="30"/>
          <w:szCs w:val="30"/>
        </w:rPr>
        <w:t>上海应对极端灾害的地面</w:t>
      </w:r>
      <w:r>
        <w:rPr>
          <w:rFonts w:hint="eastAsia" w:eastAsia="仿宋_GB2312"/>
          <w:b/>
          <w:bCs w:val="0"/>
          <w:color w:val="000000"/>
          <w:sz w:val="30"/>
          <w:szCs w:val="30"/>
          <w:lang w:eastAsia="zh-CN"/>
        </w:rPr>
        <w:t>－</w:t>
      </w:r>
      <w:r>
        <w:rPr>
          <w:rFonts w:hint="eastAsia" w:eastAsia="仿宋_GB2312"/>
          <w:b/>
          <w:bCs w:val="0"/>
          <w:color w:val="000000"/>
          <w:sz w:val="30"/>
          <w:szCs w:val="30"/>
        </w:rPr>
        <w:t>地下一体化应急保供思路、方案</w:t>
      </w:r>
    </w:p>
    <w:p>
      <w:pPr>
        <w:pStyle w:val="3"/>
        <w:shd w:val="clear" w:color="auto" w:fill="FFFFFF"/>
        <w:spacing w:before="0" w:beforeAutospacing="0" w:after="0" w:afterAutospacing="0" w:line="480" w:lineRule="auto"/>
        <w:ind w:right="-420" w:rightChars="-200"/>
        <w:jc w:val="both"/>
        <w:rPr>
          <w:rFonts w:ascii="仿宋" w:hAnsi="仿宋" w:eastAsia="仿宋"/>
          <w:b/>
          <w:bCs w:val="0"/>
          <w:sz w:val="28"/>
          <w:szCs w:val="28"/>
        </w:rPr>
      </w:pPr>
      <w:r>
        <w:rPr>
          <w:rFonts w:hint="eastAsia" w:eastAsia="仿宋_GB2312"/>
          <w:b/>
          <w:bCs w:val="0"/>
          <w:color w:val="000000"/>
          <w:sz w:val="30"/>
          <w:szCs w:val="30"/>
        </w:rPr>
        <w:t>和举措</w:t>
      </w:r>
    </w:p>
    <w:p>
      <w:pPr>
        <w:spacing w:line="36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超大型城市人口密集、数量巨大，一旦发生极端灾害，居民应急保供面临巨大挑战。轨道交通系统具有快速、稳定、可靠等优点，在地面配送受阻的情况下，可与地面运输配合完成保供任务。上海拥有全球里程最长的超大规模轨道交通网络，线路四通八达，在极端灾害情况下，应发挥其重要的应急保供作用。本课题研究重点</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系统分析极端灾害情景下上海应急保供问题瓶颈，估算城市物流需求量，在深入分析上海轨道交通网络和地面配送特点的基础上，提出地面-地下一体化应急保供的解决思路、方案和相关配套举措。</w:t>
      </w:r>
    </w:p>
    <w:p>
      <w:pPr>
        <w:pStyle w:val="3"/>
        <w:numPr>
          <w:ilvl w:val="0"/>
          <w:numId w:val="1"/>
        </w:numPr>
        <w:shd w:val="clear" w:color="auto" w:fill="FFFFFF"/>
        <w:spacing w:before="0" w:beforeAutospacing="0" w:after="0" w:afterAutospacing="0" w:line="480" w:lineRule="auto"/>
        <w:ind w:right="0" w:rightChars="0"/>
        <w:jc w:val="both"/>
        <w:rPr>
          <w:rFonts w:hint="eastAsia" w:ascii="仿宋" w:hAnsi="仿宋" w:eastAsia="仿宋"/>
          <w:b/>
          <w:sz w:val="28"/>
          <w:szCs w:val="28"/>
        </w:rPr>
      </w:pPr>
      <w:r>
        <w:rPr>
          <w:rFonts w:hint="eastAsia" w:ascii="仿宋" w:hAnsi="仿宋" w:eastAsia="仿宋"/>
          <w:b/>
          <w:sz w:val="28"/>
          <w:szCs w:val="28"/>
        </w:rPr>
        <w:t>上海开展国际科技合作问题研究——基于“科技外交”视域下的国际科技合作创新机制研究</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auto"/>
        <w:ind w:right="-313" w:rightChars="-149" w:firstLine="560" w:firstLineChars="200"/>
        <w:jc w:val="both"/>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习总书记强调，“要强化科技创新策源功能，构建具有全球竞争力的开放创新体系”。当今世界，国际科技竞争与合作空前活跃，一方面，各国纷纷加大对科技研发的投入和支持力度，如5G技术、转基因、人工智能等；另一方面，科技全球化的发展，使得大量科技活动超出国家范围。科技创新在应对全球性问题上的作用日益凸显。本课题研究重点：从“科技外交理论”、“国际科技合作现状”、“国际科技合作发展策略”三个方面对上海的科技外交理论和国际科技合作的创新机制进行探究。</w:t>
      </w:r>
    </w:p>
    <w:p>
      <w:pPr>
        <w:numPr>
          <w:ilvl w:val="0"/>
          <w:numId w:val="1"/>
        </w:numPr>
        <w:spacing w:line="360" w:lineRule="auto"/>
        <w:ind w:left="0" w:leftChars="0" w:firstLine="0" w:firstLineChars="0"/>
        <w:rPr>
          <w:rFonts w:hint="eastAsia" w:ascii="仿宋" w:hAnsi="仿宋" w:eastAsia="仿宋" w:cs="宋体"/>
          <w:b/>
          <w:bCs/>
          <w:kern w:val="0"/>
          <w:sz w:val="28"/>
          <w:szCs w:val="28"/>
        </w:rPr>
      </w:pPr>
      <w:r>
        <w:rPr>
          <w:rFonts w:hint="eastAsia" w:ascii="仿宋" w:hAnsi="仿宋" w:eastAsia="仿宋" w:cs="宋体"/>
          <w:b/>
          <w:bCs/>
          <w:kern w:val="0"/>
          <w:sz w:val="28"/>
          <w:szCs w:val="28"/>
        </w:rPr>
        <w:t>构建数字医疗与智能医疗装备产业生态圈高质量发展策略研究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2018年，习近平总书记在上海考察期间对本市要重点发展集成电路、人工智能、生物医药三大先导产业提出了明确要求。为此，市委市政府高度重视成立了上海市生物医药产业推进工作专班，为本市生物医药产业发展奠定了基础。数字医疗与智能医疗装备是生物医药的重要组成部分，上海作为长三角区域的核心已逐步形成了该产业生态。随着人工智能、5G、物联网等新兴技术的发展与应用，如何构建数字医疗与智能医疗装备的产业生态的高质量发展引起了极大的关注。本课题研究重点：分析长三角和上海市医疗器械产业现状与特点的基础上，提出当前产业生态圈构建中的问题，深入研究数字医疗与智能医疗器械产业特点，进一步提出推进数字医疗与智能医疗装备产业生态圈构建的策略，助推上海在该产业领域的高速高质量发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eastAsia="仿宋_GB2312"/>
          <w:b/>
          <w:bCs/>
          <w:color w:val="000000"/>
          <w:sz w:val="30"/>
          <w:szCs w:val="30"/>
        </w:rPr>
      </w:pPr>
      <w:r>
        <w:rPr>
          <w:rFonts w:hint="eastAsia" w:eastAsia="仿宋_GB2312"/>
          <w:b/>
          <w:bCs/>
          <w:color w:val="000000"/>
          <w:sz w:val="30"/>
          <w:szCs w:val="30"/>
        </w:rPr>
        <w:t>寻求积极推动产业和区域合作发展的氢能快速发展路径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上海市作为一个国际化大都市，对能源供应的安全性和环保性有很高的要求。氢能作为未来能源技术的重要方向，对上海市建设新型能源城市，实现能源结构的转型升级具有重要推动作用。上海市“十四五”规划、“五大新城”建设、能源结构转型，对于氢能发展进行短期、中期、长期布局。本课题研究重点：从技术路径和规划、策略角度探索氢能、储能、电氢替代等“三新”产业发展、样板区和区域一体化发展示范区思路及作用，长江电氢输送带建设、交通、建筑、工业领域开展电氢替代可行性等方面开展研究，形成咨询报告。提出相关举措和瓶颈突破，积极推进先进能源技术创新、清洁低碳能源供应、能源生态系统集成、长三角一体化协同发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eastAsia="仿宋_GB2312"/>
          <w:b/>
          <w:bCs/>
          <w:color w:val="000000"/>
          <w:sz w:val="30"/>
          <w:szCs w:val="30"/>
          <w:lang w:val="en-US" w:eastAsia="zh-CN"/>
        </w:rPr>
      </w:pPr>
      <w:r>
        <w:rPr>
          <w:rFonts w:hint="eastAsia" w:eastAsia="仿宋_GB2312"/>
          <w:b/>
          <w:bCs/>
          <w:color w:val="000000"/>
          <w:sz w:val="30"/>
          <w:szCs w:val="30"/>
        </w:rPr>
        <w:t>超大城市新业态就业群体社保权益实现机制研究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上海是我国许多新产业、新业态产生和发展迅速的地方，也是新业态就业数量巨大的超大城市。如何顺畅地将新就业形态群体纳入社会保障体系，实现法定人群全覆盖，以及如何推进社会保障制度的系统整合和有效协同，是理论研究者和政策制定者需要正视和研究的重要论题，也是上海社保体系需要突破的重点工作。本课题研究重点：一是分析新就业形态的基本特征、社保需求的类别以及主要特点；二是探讨像上海这样的超大城市的社会保障制度的供给侧改革与创新，在现有基本制度稳定的基础上实现新就业形态人员社保的有效嵌入和顺畅衔接；三是提出新就业形态社会保障运行机制优化和办理信息化、便捷化的有效办法，达到适应就业的灵活性和保障安全性之间平衡的目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eastAsia="仿宋_GB2312"/>
          <w:b/>
          <w:bCs/>
          <w:color w:val="000000"/>
          <w:sz w:val="30"/>
          <w:szCs w:val="30"/>
          <w:lang w:val="en-US" w:eastAsia="zh-CN"/>
        </w:rPr>
      </w:pPr>
      <w:r>
        <w:rPr>
          <w:rFonts w:hint="eastAsia" w:eastAsia="仿宋_GB2312"/>
          <w:b/>
          <w:bCs/>
          <w:color w:val="000000"/>
          <w:sz w:val="30"/>
          <w:szCs w:val="30"/>
        </w:rPr>
        <w:t>上海参与国际文化标准治理的对策和路径研究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国家文化软实力已成为国际竞争的重要筹码，成为国家综合国力的主要标志之一，国际标准领域的文化竞争成为国家文化软实力的前沿阵地。上海作为国际文化大都市，持续打造“上海文化”品牌，积极落实繁荣发展社会主义先进文化、推进公共文化服务高质量发展、强化对外文化交流和多层次文明对话的重要任务。上海已提出建好上海外宣媒体矩阵、建强主流媒体海外网络传播阵地、加强聚合传播力度、提升上海国际传播能级等发展目标，力争进一步提升上海文化品牌的国际传播力、影响力。本课题研究重点：对上海市参与ISO国际标准组织有关图书馆、档案馆、档案馆、出版等文化类国际标准的现状分析和问题梳理的基础上，深入研判上海市文化单位和从业者参与ISO国际标准制定的潜在领域和关键突破口，提出上海市文化单位和从业者牵头制定文化类国际标准的可行性对策和路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eastAsia="仿宋_GB2312"/>
          <w:b/>
          <w:bCs/>
          <w:color w:val="000000"/>
          <w:sz w:val="30"/>
          <w:szCs w:val="30"/>
          <w:lang w:val="en-US" w:eastAsia="zh-CN"/>
        </w:rPr>
      </w:pPr>
      <w:r>
        <w:rPr>
          <w:rFonts w:hint="eastAsia" w:eastAsia="仿宋_GB2312"/>
          <w:b/>
          <w:bCs/>
          <w:color w:val="000000"/>
          <w:sz w:val="30"/>
          <w:szCs w:val="30"/>
        </w:rPr>
        <w:t>上海电动汽车全产业链碳排放核算体系与减碳路径研究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电动汽车已成为促进上海汽车产业增长的新引擎，是加速上海绿色交通能源体系构建及助力碳中和目标实现的重要途径。然而，电动汽车产业链长且技术复杂，它的全生命周期碳排放核算体系尚未建立，全产业链减碳机制及实施路径尚需深度挖掘。本课题立足国家双碳目标，聚焦电动汽车全生命周期碳排放核算体系构建中核心问题与技术瓶颈，对上海电动汽车产业链进行全景图谱分析，并结合上海能源结构给出减碳机制与可行路径。本课题重点研究但不限于以下方面：1.国内外各层级/组织碳排放核算标准/体系对比分析及经验借鉴；2.上海电动汽车全产业链全景分析及图谱绘制；3.上海电动汽车典型场景下物质流/能量流分析；4.电池汽车全生命周期碳排放核算体系建构的核心问题及建议；5.上海电动汽车产业典型场景下的减碳机制及实施路径分析。</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eastAsia="仿宋_GB2312"/>
          <w:b/>
          <w:bCs/>
          <w:color w:val="000000"/>
          <w:sz w:val="30"/>
          <w:szCs w:val="30"/>
          <w:lang w:val="en-US" w:eastAsia="zh-CN"/>
        </w:rPr>
      </w:pPr>
      <w:r>
        <w:rPr>
          <w:rFonts w:hint="eastAsia" w:eastAsia="仿宋_GB2312"/>
          <w:b/>
          <w:bCs/>
          <w:color w:val="000000"/>
          <w:sz w:val="30"/>
          <w:szCs w:val="30"/>
        </w:rPr>
        <w:t>长三角区域一体化背景下面向公交化运营的铁路客运安全监管对策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长三角区域一体化发展背景下，城际铁路呈现客流量大、客运班次密集、站间运行时间短、商务通勤需求明显等公交化运营的特点。另一方面，铁路运输安全对于保障人民生命财产安全，维护社会稳定意义重大，特别是高铁作为我国交通运输领域的“名片”，对其有效的安全监管，可以保障其公交化的高效运转，进一步激发区域发展活力、保驾护航长三角一体化高质量发展。本课题研究重点：梳理长三角地区城际铁路公交化运营对安全监管的挑战，按特征分析、对策研究、评价分析的思路，提出针对性强、可实施、可操作的城际铁路公交化运营监管对策建议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eastAsia="仿宋_GB2312"/>
          <w:b/>
          <w:bCs/>
          <w:color w:val="000000"/>
          <w:sz w:val="30"/>
          <w:szCs w:val="30"/>
          <w:lang w:val="en-US" w:eastAsia="zh-CN"/>
        </w:rPr>
      </w:pPr>
      <w:r>
        <w:rPr>
          <w:rFonts w:hint="eastAsia" w:eastAsia="仿宋_GB2312"/>
          <w:b/>
          <w:bCs/>
          <w:color w:val="000000"/>
          <w:sz w:val="30"/>
          <w:szCs w:val="30"/>
        </w:rPr>
        <w:t>科教融汇背景下上海青少年科创教育高质量发展研究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党的二十大首次将教育、科技、人才进行三位一体统一谋划、部署和推进。国家之间的竞争，其实质是科学技术的竞争，归根结底就是人才的竞争。科学技术是富国强民的利器，纵观近代以来世界的发展，西方发达国家无一不是依靠科学技术，特别是卓越的科学人才培养体系来获得可持续发展的动力的。推动科教融汇，以教育促进科学技术突飞猛进已成为包括我国在内众多国家的重要战略。中国的教育还须不懈探索培养能够攻破卡脖子技术、关键共性技术、颠覆性技术的创新人才，实现“高水平科技自立自强”。上海加快建设全球有影响力的科技创新中心，是以习近平同志为核心的党中央赋予上海的重大任务和战略使命，以科学和技术作为内容和载体来培养创新人才的科创教育的地位日益凸显。本课题研究重点：聚焦科教融汇背景下上海青少年科创教育体系建设和高质量发展，对科创教育进行理论探讨和实践研究，全面梳理上海青少年科创教育的历史脉络、现实发展、未来趋势，为构建基于系统观的青少年科创教育系统、完善青少年科创教育相关政策提供决策依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eastAsia="仿宋_GB2312"/>
          <w:b/>
          <w:bCs/>
          <w:color w:val="000000"/>
          <w:sz w:val="30"/>
          <w:szCs w:val="30"/>
          <w:lang w:val="en-US" w:eastAsia="zh-CN"/>
        </w:rPr>
      </w:pPr>
      <w:r>
        <w:rPr>
          <w:rFonts w:hint="eastAsia" w:eastAsia="仿宋_GB2312"/>
          <w:b/>
          <w:bCs/>
          <w:color w:val="000000"/>
          <w:sz w:val="30"/>
          <w:szCs w:val="30"/>
        </w:rPr>
        <w:t>制约上海知识产权保护与国际接轨的最主要瓶颈和问题研究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党的二十大报告指出“加强知识产权法治保障，形成支持全面创新的基础制度”。上海要建设具有全球影响力的科技创新中心、营造一流营商环境，对知识产权保护工作提出了更高要求。本课题的旨在基于上海市知识产权保护的制度、政策、机构、成效、经验和不足等现状进行梳理和总结，从而发现与国际接轨的最主要瓶颈和问题，结合上海和中国实际，提出上海知识产品保护与国际接轨的思路和举措。具体来说，本课题研究重点：1. 上海市知识产权保护制度体系、保护体系、运营体系、服务体会和合作体系的现状分析；2. 发达国家和国际组织的知识产权保护的制度和经验研究；3. 上海知识产权保护与国际接轨的最主要瓶颈和问题分析；4. 上海知识产权保护与国际接轨的对策和政策建议。</w:t>
      </w:r>
    </w:p>
    <w:sectPr>
      <w:footerReference r:id="rId3" w:type="default"/>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2556333"/>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85E08"/>
    <w:multiLevelType w:val="singleLevel"/>
    <w:tmpl w:val="BED85E0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ZmYzYTRiNmE1MzEyZjgxMzQ3ZGRhZTIyYzAxOWIifQ=="/>
  </w:docVars>
  <w:rsids>
    <w:rsidRoot w:val="55073254"/>
    <w:rsid w:val="04F2215B"/>
    <w:rsid w:val="08832305"/>
    <w:rsid w:val="100625C1"/>
    <w:rsid w:val="21E85FCA"/>
    <w:rsid w:val="230175D1"/>
    <w:rsid w:val="304F36B8"/>
    <w:rsid w:val="42345111"/>
    <w:rsid w:val="55073254"/>
    <w:rsid w:val="5798612E"/>
    <w:rsid w:val="756017AA"/>
    <w:rsid w:val="79F301DD"/>
    <w:rsid w:val="7EC6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2023-09-27T04:39:00Z</dcterms:created>
  <dc:creator>KJC</dc:creator>
  <cp:lastModifiedBy>KJC</cp:lastModifiedBy>
  <cp:lastPrinted>2023-09-27T05:02:00Z</cp:lastPrinted>
  <dcterms:modified xsi:type="dcterms:W3CDTF">2023-09-27T08:25:25Z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50E4BD9AC437470FB518E7C906B7FE6D_11</vt:lpwstr>
  </property>
</Properties>
</file>